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3C" w:rsidRDefault="004F4934" w:rsidP="004F4934">
      <w:pPr>
        <w:pStyle w:val="Geenafstand"/>
      </w:pPr>
      <w:r>
        <w:t xml:space="preserve">Michiel de </w:t>
      </w:r>
      <w:proofErr w:type="spellStart"/>
      <w:r>
        <w:t>Ruyter</w:t>
      </w:r>
      <w:proofErr w:type="spellEnd"/>
      <w:r>
        <w:t xml:space="preserve"> winnaar basisscholen kampioenschap Amstelveen/Uithoorn</w:t>
      </w:r>
    </w:p>
    <w:p w:rsidR="004F4934" w:rsidRDefault="004F4934" w:rsidP="004F4934">
      <w:pPr>
        <w:pStyle w:val="Geenafstand"/>
      </w:pPr>
    </w:p>
    <w:p w:rsidR="004F4934" w:rsidRDefault="004F4934" w:rsidP="004F4934">
      <w:pPr>
        <w:pStyle w:val="Geenafstand"/>
      </w:pPr>
      <w:r>
        <w:t xml:space="preserve">In het laatste weekend van januari wordt traditiegetrouw het basisscholen schaakkampioenschap gehouden in de regio Amstelveen/Uithoorn. De </w:t>
      </w:r>
      <w:proofErr w:type="spellStart"/>
      <w:r>
        <w:t>Uithoornse</w:t>
      </w:r>
      <w:proofErr w:type="spellEnd"/>
      <w:r>
        <w:t xml:space="preserve"> scholen timmerden de laatste jaren flink aan de weg en daarom is het toernooi ook een aantal maal </w:t>
      </w:r>
      <w:r w:rsidR="0098019E">
        <w:t xml:space="preserve">daar </w:t>
      </w:r>
      <w:r>
        <w:t>gehouden. Maar als de jeugd doorstroomt naar de middelbare school is het soms weer een wachten op een nieuwe lichting. Dit jaar werd er weer gespeeld in Amstelveen</w:t>
      </w:r>
      <w:r w:rsidR="0098019E">
        <w:t>,</w:t>
      </w:r>
      <w:r>
        <w:t xml:space="preserve"> omdat het schaken op scholen daar </w:t>
      </w:r>
      <w:r w:rsidR="0098019E">
        <w:t xml:space="preserve">ook </w:t>
      </w:r>
      <w:r>
        <w:t>weer flink in de lift zit, mede door de promotie van de Schaakweek Amstelveen en enkele enthousiaste schaaktrainers die de scholen bezoeken. 14 teams verdeeld over 9 scholen waren dit keer van de partij. Iets minder dan afgelopen jaar, maar toch leuk om ook weer wat nieuwe scholen te zien. Het schaken leeft toch wel weer onder de jeugd.</w:t>
      </w:r>
    </w:p>
    <w:p w:rsidR="004F4934" w:rsidRDefault="004F4934" w:rsidP="004F4934">
      <w:pPr>
        <w:pStyle w:val="Geenafstand"/>
      </w:pPr>
    </w:p>
    <w:p w:rsidR="004F4934" w:rsidRDefault="004F4934" w:rsidP="004F4934">
      <w:pPr>
        <w:pStyle w:val="Geenafstand"/>
      </w:pPr>
      <w:r>
        <w:t xml:space="preserve">Vooraf waren er wel een paar favoriete teams aan te wijzen, omdat daar kinderen in </w:t>
      </w:r>
      <w:r w:rsidR="0098019E">
        <w:t>spelen</w:t>
      </w:r>
      <w:r>
        <w:t xml:space="preserve"> die ook op de schaakverenigingen Zukertort (Amstelveen) en De Amstel (Uithoorn) al een aardig potje kunnen schaken. Met een Zwitserse opzet van 7 ronden en 14 teams is het niet vreemd dat de topduels eigenlijk al iets te vroeg in het toernooi gespeeld worden. Zo versloeg Michiel de </w:t>
      </w:r>
      <w:proofErr w:type="spellStart"/>
      <w:r>
        <w:t>Ruyter</w:t>
      </w:r>
      <w:proofErr w:type="spellEnd"/>
      <w:r>
        <w:t xml:space="preserve"> 1 in ronde 2</w:t>
      </w:r>
      <w:r w:rsidR="001A3C5F">
        <w:t xml:space="preserve"> ’t Startnest 1 en in ronde 3 De Triangel 1. Deze beide teams speelden onderling weer gelijk tegen elkaar in ronde 4. Omdat deze 3 teams verder een maatje te groot waren voor de rest van het veld en al hun wedstrijden wonnen, konden deze 3 teams aan het eind van de middag de bekers en medailles in ontvangst nemen, inclusief een uitnodiging voor de halve finales van het basisscholen schaakkampioenschap van heel Amsterdam</w:t>
      </w:r>
      <w:r w:rsidR="0098019E">
        <w:t>.</w:t>
      </w:r>
    </w:p>
    <w:p w:rsidR="0098019E" w:rsidRDefault="0098019E" w:rsidP="004F4934">
      <w:pPr>
        <w:pStyle w:val="Geenafstand"/>
      </w:pPr>
    </w:p>
    <w:p w:rsidR="0098019E" w:rsidRDefault="0098019E" w:rsidP="004F4934">
      <w:pPr>
        <w:pStyle w:val="Geenafstand"/>
      </w:pPr>
      <w:r>
        <w:t>Maar het draait niet alleen om de winnaars. Bijna 60 enthousiaste kinderen hebben weer een leuke middag kunnen schaken. Soms niet helemaal volgens de schaakregels, maar met wat hulp van een flink aantal schaakvrijwilligers en onderlinge sportiviteit was dat nooit een probleem. En het is altijd leuk om te zien dat er even enthousiaste ouders/begeleiders/trainers/leerkrachten meekijken om de verrichtingen te volgen.</w:t>
      </w:r>
    </w:p>
    <w:p w:rsidR="0098019E" w:rsidRDefault="0098019E" w:rsidP="004F4934">
      <w:pPr>
        <w:pStyle w:val="Geenafstand"/>
      </w:pPr>
    </w:p>
    <w:p w:rsidR="0098019E" w:rsidRDefault="0098019E" w:rsidP="004F4934">
      <w:pPr>
        <w:pStyle w:val="Geenafstand"/>
      </w:pPr>
      <w:r>
        <w:t>We wensen de 3 winnende teams veel succes in de halve finales en hopen velen weer te zien bij de volgende editie in januari 2018.</w:t>
      </w:r>
    </w:p>
    <w:p w:rsidR="0098019E" w:rsidRDefault="0098019E" w:rsidP="004F4934">
      <w:pPr>
        <w:pStyle w:val="Geenafstand"/>
      </w:pPr>
    </w:p>
    <w:tbl>
      <w:tblPr>
        <w:tblW w:w="0" w:type="auto"/>
        <w:tblCellSpacing w:w="0" w:type="dxa"/>
        <w:tblBorders>
          <w:top w:val="single" w:sz="4" w:space="0" w:color="000088"/>
          <w:left w:val="single" w:sz="4" w:space="0" w:color="000088"/>
        </w:tblBorders>
        <w:shd w:val="clear" w:color="auto" w:fill="DDEEFF"/>
        <w:tblCellMar>
          <w:left w:w="0" w:type="dxa"/>
          <w:right w:w="0" w:type="dxa"/>
        </w:tblCellMar>
        <w:tblLook w:val="04A0"/>
      </w:tblPr>
      <w:tblGrid>
        <w:gridCol w:w="1387"/>
        <w:gridCol w:w="3110"/>
        <w:gridCol w:w="884"/>
        <w:gridCol w:w="1068"/>
        <w:gridCol w:w="810"/>
      </w:tblGrid>
      <w:tr w:rsidR="00353622" w:rsidRPr="00353622" w:rsidTr="00353622">
        <w:trPr>
          <w:tblCellSpacing w:w="0" w:type="dxa"/>
        </w:trPr>
        <w:tc>
          <w:tcPr>
            <w:tcW w:w="0" w:type="auto"/>
            <w:gridSpan w:val="5"/>
            <w:tcBorders>
              <w:bottom w:val="single" w:sz="4" w:space="0" w:color="000088"/>
              <w:right w:val="single" w:sz="4" w:space="0" w:color="000088"/>
            </w:tcBorders>
            <w:shd w:val="clear" w:color="auto" w:fill="000088"/>
            <w:noWrap/>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Eindstand schaakkampioenschap basisscholen regio Amstelveen/Uithoorn 2017</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99CCFF"/>
            <w:noWrap/>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Plaats</w:t>
            </w:r>
          </w:p>
        </w:tc>
        <w:tc>
          <w:tcPr>
            <w:tcW w:w="0" w:type="auto"/>
            <w:tcBorders>
              <w:bottom w:val="single" w:sz="4" w:space="0" w:color="000088"/>
              <w:right w:val="single" w:sz="4" w:space="0" w:color="000088"/>
            </w:tcBorders>
            <w:shd w:val="clear" w:color="auto" w:fill="99CCFF"/>
            <w:noWrap/>
            <w:tcMar>
              <w:top w:w="0" w:type="dxa"/>
              <w:left w:w="58" w:type="dxa"/>
              <w:bottom w:w="0" w:type="dxa"/>
              <w:right w:w="58" w:type="dxa"/>
            </w:tcMar>
            <w:vAlign w:val="center"/>
            <w:hideMark/>
          </w:tcPr>
          <w:p w:rsidR="00353622" w:rsidRPr="00353622" w:rsidRDefault="00353622" w:rsidP="00353622">
            <w:pPr>
              <w:spacing w:after="0" w:line="240" w:lineRule="auto"/>
            </w:pPr>
            <w:r w:rsidRPr="00353622">
              <w:t>School</w:t>
            </w:r>
          </w:p>
        </w:tc>
        <w:tc>
          <w:tcPr>
            <w:tcW w:w="0" w:type="auto"/>
            <w:tcBorders>
              <w:bottom w:val="single" w:sz="4" w:space="0" w:color="000088"/>
              <w:right w:val="single" w:sz="4" w:space="0" w:color="000088"/>
            </w:tcBorders>
            <w:shd w:val="clear" w:color="auto" w:fill="99CCFF"/>
            <w:noWrap/>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MP</w:t>
            </w:r>
          </w:p>
        </w:tc>
        <w:tc>
          <w:tcPr>
            <w:tcW w:w="0" w:type="auto"/>
            <w:tcBorders>
              <w:bottom w:val="single" w:sz="4" w:space="0" w:color="000088"/>
              <w:right w:val="single" w:sz="4" w:space="0" w:color="000088"/>
            </w:tcBorders>
            <w:shd w:val="clear" w:color="auto" w:fill="99CCFF"/>
            <w:noWrap/>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BP</w:t>
            </w:r>
          </w:p>
        </w:tc>
        <w:tc>
          <w:tcPr>
            <w:tcW w:w="0" w:type="auto"/>
            <w:tcBorders>
              <w:bottom w:val="single" w:sz="4" w:space="0" w:color="000088"/>
              <w:right w:val="single" w:sz="4" w:space="0" w:color="000088"/>
            </w:tcBorders>
            <w:shd w:val="clear" w:color="auto" w:fill="99CCFF"/>
            <w:noWrap/>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OR</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 xml:space="preserve">Michiel de </w:t>
            </w:r>
            <w:proofErr w:type="spellStart"/>
            <w:r w:rsidRPr="00353622">
              <w:t>Ruyter</w:t>
            </w:r>
            <w:proofErr w:type="spellEnd"/>
            <w:r w:rsidRPr="00353622">
              <w:t xml:space="preserve"> 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14</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25.5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't Startnest 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23.0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3</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De Triangel</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22.0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4</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proofErr w:type="spellStart"/>
            <w:r w:rsidRPr="00353622">
              <w:t>Parcival</w:t>
            </w:r>
            <w:proofErr w:type="spellEnd"/>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15.0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't Startnest 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14.0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6</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 xml:space="preserve">Michiel de </w:t>
            </w:r>
            <w:proofErr w:type="spellStart"/>
            <w:r w:rsidRPr="00353622">
              <w:t>Ruyter</w:t>
            </w:r>
            <w:proofErr w:type="spellEnd"/>
            <w:r w:rsidRPr="00353622">
              <w:t xml:space="preserve"> 3</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13.5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 xml:space="preserve">Michiel de </w:t>
            </w:r>
            <w:proofErr w:type="spellStart"/>
            <w:r w:rsidRPr="00353622">
              <w:t>Ruyter</w:t>
            </w:r>
            <w:proofErr w:type="spellEnd"/>
            <w:r w:rsidRPr="00353622">
              <w:t xml:space="preserve"> 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13.5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0</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8</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Piet Hein 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13.0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9</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proofErr w:type="spellStart"/>
            <w:r w:rsidRPr="00353622">
              <w:t>Kinder</w:t>
            </w:r>
            <w:proofErr w:type="spellEnd"/>
            <w:r w:rsidRPr="00353622">
              <w:t xml:space="preserve"> Campus King 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12.5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Het Duet</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7</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12.0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Piet Hein 1</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6</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10.5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proofErr w:type="spellStart"/>
            <w:r w:rsidRPr="00353622">
              <w:t>Roelof</w:t>
            </w:r>
            <w:proofErr w:type="spellEnd"/>
            <w:r w:rsidRPr="00353622">
              <w:t xml:space="preserve"> Venema</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3</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9.0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13</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proofErr w:type="spellStart"/>
            <w:r w:rsidRPr="00353622">
              <w:t>Kinder</w:t>
            </w:r>
            <w:proofErr w:type="spellEnd"/>
            <w:r w:rsidRPr="00353622">
              <w:t xml:space="preserve"> Campus King 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6.5</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r w:rsidR="00353622" w:rsidRPr="00353622" w:rsidTr="00353622">
        <w:trPr>
          <w:tblCellSpacing w:w="0" w:type="dxa"/>
        </w:trPr>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14</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pPr>
            <w:r w:rsidRPr="00353622">
              <w:t>De Cirkel</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2</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6.0</w:t>
            </w:r>
          </w:p>
        </w:tc>
        <w:tc>
          <w:tcPr>
            <w:tcW w:w="0" w:type="auto"/>
            <w:tcBorders>
              <w:bottom w:val="single" w:sz="4" w:space="0" w:color="000088"/>
              <w:right w:val="single" w:sz="4" w:space="0" w:color="000088"/>
            </w:tcBorders>
            <w:shd w:val="clear" w:color="auto" w:fill="DDEEFF"/>
            <w:tcMar>
              <w:top w:w="0" w:type="dxa"/>
              <w:left w:w="58" w:type="dxa"/>
              <w:bottom w:w="0" w:type="dxa"/>
              <w:right w:w="58" w:type="dxa"/>
            </w:tcMar>
            <w:vAlign w:val="center"/>
            <w:hideMark/>
          </w:tcPr>
          <w:p w:rsidR="00353622" w:rsidRPr="00353622" w:rsidRDefault="00353622" w:rsidP="00353622">
            <w:pPr>
              <w:spacing w:after="0" w:line="240" w:lineRule="auto"/>
              <w:jc w:val="center"/>
            </w:pPr>
            <w:r w:rsidRPr="00353622">
              <w:t> </w:t>
            </w:r>
          </w:p>
        </w:tc>
      </w:tr>
    </w:tbl>
    <w:p w:rsidR="00353622" w:rsidRDefault="00353622" w:rsidP="004F4934">
      <w:pPr>
        <w:pStyle w:val="Geenafstand"/>
      </w:pPr>
    </w:p>
    <w:p w:rsidR="0098019E" w:rsidRDefault="0098019E" w:rsidP="004F4934">
      <w:pPr>
        <w:pStyle w:val="Geenafstand"/>
      </w:pPr>
      <w:r>
        <w:t>Marcel Laarhoven</w:t>
      </w:r>
    </w:p>
    <w:sectPr w:rsidR="0098019E" w:rsidSect="001B6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F4934"/>
    <w:rsid w:val="001A3C5F"/>
    <w:rsid w:val="001B6C3C"/>
    <w:rsid w:val="002C0454"/>
    <w:rsid w:val="00353622"/>
    <w:rsid w:val="004F4934"/>
    <w:rsid w:val="009801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6C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934"/>
    <w:pPr>
      <w:spacing w:after="0" w:line="240" w:lineRule="auto"/>
    </w:pPr>
  </w:style>
</w:styles>
</file>

<file path=word/webSettings.xml><?xml version="1.0" encoding="utf-8"?>
<w:webSettings xmlns:r="http://schemas.openxmlformats.org/officeDocument/2006/relationships" xmlns:w="http://schemas.openxmlformats.org/wordprocessingml/2006/main">
  <w:divs>
    <w:div w:id="8576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421</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2017-02-04T06:31:00Z</dcterms:created>
  <dcterms:modified xsi:type="dcterms:W3CDTF">2017-02-04T06:59:00Z</dcterms:modified>
</cp:coreProperties>
</file>